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18202A" w:rsidRPr="0073714B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374BC3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:rsidR="00BA1229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5C0FC2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7F68A2" w:rsidRPr="0073714B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374BC3" w:rsidRPr="00387053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0A305D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74BC3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7F68A2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790D71" w:rsidTr="005F3FB4">
        <w:tc>
          <w:tcPr>
            <w:tcW w:w="66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74BC3" w:rsidRP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ის მოთხოვნები და უფლებები, რომლებიც შეიძლება გადაეცეს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ან/და მიენიჭოს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განცხადებები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მე-</w:t>
      </w:r>
      <w:r w:rsidR="00422146">
        <w:rPr>
          <w:rFonts w:ascii="Sylfaen" w:hAnsi="Sylfaen" w:cs="Sylfaen"/>
          <w:sz w:val="14"/>
          <w:szCs w:val="14"/>
          <w:lang w:val="ka-GE"/>
        </w:rPr>
        <w:t>6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0542B0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0542B0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84215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noProof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73714B">
        <w:rPr>
          <w:rFonts w:ascii="Sylfaen" w:hAnsi="Sylfaen"/>
          <w:b/>
          <w:sz w:val="14"/>
          <w:szCs w:val="14"/>
        </w:rPr>
        <w:t xml:space="preserve"> (</w:t>
      </w:r>
      <w:r w:rsidRPr="0073714B">
        <w:rPr>
          <w:rFonts w:ascii="Sylfaen" w:hAnsi="Sylfaen" w:cs="Sylfaen"/>
          <w:b/>
          <w:sz w:val="14"/>
          <w:szCs w:val="14"/>
        </w:rPr>
        <w:t>ჯარიმა</w:t>
      </w:r>
      <w:r w:rsidRPr="0073714B">
        <w:rPr>
          <w:rFonts w:ascii="Sylfaen" w:hAnsi="Sylfaen"/>
          <w:b/>
          <w:sz w:val="14"/>
          <w:szCs w:val="14"/>
        </w:rPr>
        <w:t>)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714CF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14CF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გადახდაც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მხარეს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ხელშეკრულებითვე</w:t>
      </w:r>
      <w:r w:rsidR="00C714CF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C714CF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შეუსრულებლობის ან/და არაჯეროვანი შესრულების მომენტიდან, თუ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დამრღვევ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მხარეს </w:t>
      </w:r>
      <w:r w:rsidR="00C714CF">
        <w:rPr>
          <w:rFonts w:ascii="Sylfaen" w:hAnsi="Sylfaen"/>
          <w:sz w:val="14"/>
          <w:szCs w:val="14"/>
          <w:lang w:val="ka-GE"/>
        </w:rPr>
        <w:t xml:space="preserve">წარმოეშვება, მხოლოდ მეორე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საბანკო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დღე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73714B">
        <w:rPr>
          <w:rFonts w:ascii="Sylfaen" w:hAnsi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916A3D" w:rsidRPr="0073714B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077FBE" w:rsidTr="005F3FB4">
        <w:tc>
          <w:tcPr>
            <w:tcW w:w="61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73714B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ან/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შემსრულებლის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რეზიდენტი ქვეყნის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916A3D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D77BD4" w:rsidRPr="0073714B" w:rsidRDefault="00D77BD4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9F649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ვალდებულია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დაუყოვნებლივ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აცნობოს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b/>
          <w:sz w:val="14"/>
          <w:szCs w:val="14"/>
          <w:lang w:val="en-US"/>
        </w:rPr>
        <w:t>ბანკს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თავისი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სამართლებრივი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სტატუსის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ცვლილების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შესახებ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>.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შემსრულებელს.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მიმართ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ab/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73714B" w:rsidTr="005F3FB4">
        <w:tc>
          <w:tcPr>
            <w:tcW w:w="63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sz w:val="14"/>
          <w:szCs w:val="14"/>
          <w:lang w:val="ka-GE"/>
        </w:rPr>
        <w:t>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(ებ)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შორის უძრავი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ან/და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მოძრავი ნივთები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შემსრულებლისაგან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შემსრულებლის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916A3D" w:rsidRPr="00387053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BC3248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en-US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73714B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იღებენ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აუნაზღაურონ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ერთმანეთს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წესით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7450B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422146">
        <w:rPr>
          <w:rFonts w:ascii="Sylfaen" w:hAnsi="Sylfaen"/>
          <w:sz w:val="14"/>
          <w:szCs w:val="14"/>
          <w:lang w:val="ka-GE"/>
        </w:rPr>
        <w:t>9</w:t>
      </w:r>
      <w:r w:rsidRPr="0073714B">
        <w:rPr>
          <w:rFonts w:ascii="Sylfaen" w:hAnsi="Sylfaen"/>
          <w:sz w:val="14"/>
          <w:szCs w:val="14"/>
        </w:rPr>
        <w:t>.1.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პუნქტით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გარანტიისა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აცხადებ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წინასწარ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თანხმობას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უფლებამოსილებაზე</w:t>
      </w:r>
      <w:r w:rsidRPr="0073714B">
        <w:rPr>
          <w:rFonts w:ascii="Sylfaen" w:hAnsi="Sylfaen"/>
          <w:sz w:val="14"/>
          <w:szCs w:val="14"/>
        </w:rPr>
        <w:t>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საკუთარი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შეხედულებისამებრ</w:t>
      </w:r>
      <w:r w:rsidRPr="0073714B">
        <w:rPr>
          <w:rFonts w:ascii="Sylfaen" w:hAnsi="Sylfaen"/>
          <w:sz w:val="14"/>
          <w:szCs w:val="14"/>
        </w:rPr>
        <w:t>: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სახის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73714B">
        <w:rPr>
          <w:rFonts w:ascii="Sylfaen" w:hAnsi="Sylfaen" w:cs="Sylfaen"/>
          <w:sz w:val="14"/>
          <w:szCs w:val="14"/>
          <w:lang w:val="ka-GE"/>
        </w:rPr>
        <w:t>;</w:t>
      </w:r>
      <w:r w:rsidRPr="0073714B">
        <w:rPr>
          <w:rFonts w:ascii="Sylfaen" w:hAnsi="Sylfaen"/>
          <w:sz w:val="14"/>
          <w:szCs w:val="14"/>
        </w:rPr>
        <w:t xml:space="preserve"> 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რიცხული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სხვადასხვა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ვალუტაშია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განახორციელოს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გადახდის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თარიღისათვის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მოქმედი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კომერციული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კურსით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მომსახურების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ღირებულება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ასევე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b/>
          <w:sz w:val="14"/>
          <w:szCs w:val="14"/>
          <w:lang w:val="ka-GE"/>
        </w:rPr>
        <w:t>.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73714B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  <w:highlight w:val="yellow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B21598" w:rsidTr="005F3FB4">
        <w:tc>
          <w:tcPr>
            <w:tcW w:w="64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შესაძლებელია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ვადამდე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:  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შეასრულებს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ფულად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განცხადებებს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>);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მხარეთა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შეთანხმებით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lastRenderedPageBreak/>
        <w:t>იმ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შესაბამისად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მისი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იყოს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6</w:t>
      </w:r>
      <w:r w:rsidRPr="0073714B">
        <w:rPr>
          <w:rFonts w:ascii="Sylfaen" w:hAnsi="Sylfaen"/>
          <w:sz w:val="14"/>
          <w:szCs w:val="14"/>
        </w:rPr>
        <w:t>0 (</w:t>
      </w:r>
      <w:r w:rsidRPr="0073714B">
        <w:rPr>
          <w:rFonts w:ascii="Sylfaen" w:hAnsi="Sylfaen"/>
          <w:sz w:val="14"/>
          <w:szCs w:val="14"/>
          <w:lang w:val="ka-GE"/>
        </w:rPr>
        <w:t>სამო</w:t>
      </w:r>
      <w:r w:rsidRPr="0073714B">
        <w:rPr>
          <w:rFonts w:ascii="Sylfaen" w:hAnsi="Sylfaen" w:cs="Sylfaen"/>
          <w:sz w:val="14"/>
          <w:szCs w:val="14"/>
        </w:rPr>
        <w:t>ცი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დღეზე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მიზანშეწონილად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მიაჩნია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შეიძლება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>.</w:t>
      </w:r>
    </w:p>
    <w:p w:rsidR="006326BE" w:rsidRPr="00E81C40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73714B">
        <w:rPr>
          <w:rFonts w:ascii="Sylfaen" w:hAnsi="Sylfaen" w:cs="Sylfaen"/>
          <w:sz w:val="14"/>
          <w:szCs w:val="14"/>
        </w:rPr>
        <w:t>თუ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მიიღებს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ცალმხრივად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სრულად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ან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ნაწილობრივ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შეწყვეტის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73714B">
        <w:rPr>
          <w:rFonts w:ascii="Sylfaen" w:hAnsi="Sylfaen"/>
          <w:sz w:val="14"/>
          <w:szCs w:val="14"/>
        </w:rPr>
        <w:t xml:space="preserve">, </w:t>
      </w:r>
      <w:r w:rsidR="006326BE" w:rsidRPr="0073714B">
        <w:rPr>
          <w:rFonts w:ascii="Sylfaen" w:hAnsi="Sylfaen" w:cs="Sylfaen"/>
          <w:sz w:val="14"/>
          <w:szCs w:val="14"/>
        </w:rPr>
        <w:t>ვალდებულია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შეატყობინოს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6326BE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მიღებული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და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ამოქმედების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თარიღი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>
        <w:rPr>
          <w:rFonts w:ascii="Sylfaen" w:hAnsi="Sylfaen" w:cs="Sylfaen"/>
          <w:sz w:val="14"/>
          <w:szCs w:val="14"/>
          <w:lang w:val="ka-GE"/>
        </w:rPr>
        <w:t>(ერთი)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A03F1A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>
        <w:rPr>
          <w:rFonts w:ascii="Sylfaen" w:hAnsi="Sylfaen"/>
          <w:sz w:val="14"/>
          <w:szCs w:val="14"/>
          <w:lang w:val="ka-GE"/>
        </w:rPr>
        <w:t xml:space="preserve"> 10</w:t>
      </w:r>
      <w:r w:rsidRPr="0073714B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73714B">
        <w:rPr>
          <w:rFonts w:ascii="Sylfaen" w:hAnsi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73714B">
        <w:rPr>
          <w:rFonts w:ascii="Sylfaen" w:hAnsi="Sylfaen"/>
          <w:sz w:val="14"/>
          <w:szCs w:val="14"/>
          <w:lang w:val="en-US"/>
        </w:rPr>
        <w:t xml:space="preserve">.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>)</w:t>
      </w:r>
      <w:r w:rsidRPr="0073714B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  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3714B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ათავისუფლებს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შესრულებისაგან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გადახდისაგან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ამგვარი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იძულებითი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ნებაყოფლობითი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მომენტამდე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მაშინ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73714B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40041E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1F04CA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</w:t>
      </w:r>
      <w:r w:rsidRPr="0073714B">
        <w:rPr>
          <w:rFonts w:ascii="Sylfaen" w:hAnsi="Sylfaen"/>
          <w:sz w:val="14"/>
          <w:szCs w:val="14"/>
          <w:lang w:val="ka-GE"/>
        </w:rPr>
        <w:lastRenderedPageBreak/>
        <w:t xml:space="preserve">მისამართზე გაგზავნისას,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73714B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B75DC2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73714B" w:rsidTr="005F3FB4">
        <w:tc>
          <w:tcPr>
            <w:tcW w:w="61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8747C2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896AB8" w:rsidTr="005F3FB4">
        <w:tc>
          <w:tcPr>
            <w:tcW w:w="60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B404D2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73714B" w:rsidTr="005F3FB4"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08080"/>
          </w:tcPr>
          <w:p w:rsidR="00B97FD7" w:rsidRPr="00B404D2" w:rsidRDefault="00B97FD7" w:rsidP="00B404D2">
            <w:pPr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916A3D" w:rsidRPr="0073714B" w:rsidRDefault="00422146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15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73714B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73714B">
        <w:rPr>
          <w:rFonts w:ascii="Sylfaen" w:hAnsi="Sylfaen" w:cs="Sylfaen"/>
          <w:b/>
          <w:sz w:val="14"/>
          <w:szCs w:val="14"/>
        </w:rPr>
        <w:t>პირებზე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73714B">
        <w:rPr>
          <w:rFonts w:ascii="Sylfaen" w:hAnsi="Sylfaen" w:cs="Sylfaen"/>
          <w:b/>
          <w:sz w:val="14"/>
          <w:szCs w:val="14"/>
        </w:rPr>
        <w:t>პირის</w:t>
      </w:r>
      <w:r w:rsidRPr="0073714B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73714B">
        <w:rPr>
          <w:rFonts w:ascii="Sylfaen" w:hAnsi="Sylfaen" w:cs="Sylfaen"/>
          <w:b/>
          <w:sz w:val="14"/>
          <w:szCs w:val="14"/>
        </w:rPr>
        <w:t>პირზე.</w:t>
      </w: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>:</w:t>
      </w: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916A3D" w:rsidRPr="0073714B" w:rsidRDefault="00916A3D" w:rsidP="0038705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>წარმოადგენს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მიმართ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სოლიდარულ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მოვალეს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ვალდებულებებზე;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სოლიდარული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პასუხისმგებლობა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ძალაშია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ხელშეკრულებიდან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სასარგებლოდ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რაიმე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ფორმით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გაცემული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დამატებითი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73714B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ერთ-ერთ</w:t>
      </w:r>
      <w:r w:rsidRPr="0073714B">
        <w:rPr>
          <w:rFonts w:ascii="Sylfaen" w:hAnsi="Sylfaen" w:cs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73714B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73714B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73714B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1F09CD" w:rsidTr="005F3FB4">
        <w:tc>
          <w:tcPr>
            <w:tcW w:w="57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73714B">
        <w:rPr>
          <w:rFonts w:ascii="Sylfaen" w:hAnsi="Sylfaen" w:cs="Sylfaen"/>
          <w:sz w:val="14"/>
          <w:szCs w:val="14"/>
        </w:rPr>
        <w:t>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არსებობისას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მოთხოვნიდან</w:t>
      </w:r>
      <w:r w:rsidRPr="0073714B">
        <w:rPr>
          <w:rFonts w:ascii="Sylfaen" w:hAnsi="Sylfaen"/>
          <w:sz w:val="14"/>
          <w:szCs w:val="14"/>
        </w:rPr>
        <w:t xml:space="preserve"> 10 (</w:t>
      </w:r>
      <w:r w:rsidRPr="0073714B">
        <w:rPr>
          <w:rFonts w:ascii="Sylfaen" w:hAnsi="Sylfaen" w:cs="Sylfaen"/>
          <w:sz w:val="14"/>
          <w:szCs w:val="14"/>
        </w:rPr>
        <w:t>ათი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ყოველი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მიენიჭება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მეორე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დარღვევის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კრებითია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დაემატება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მინიჭებულ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უფლებას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73714B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lastRenderedPageBreak/>
        <w:t>ხელშეკრულებით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ნორმე</w:t>
      </w:r>
      <w:r w:rsidRPr="0073714B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A1229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:rsidR="00532506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C32324" w:rsidTr="005F3FB4">
        <w:tc>
          <w:tcPr>
            <w:tcW w:w="49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05" w:type="dxa"/>
            <w:shd w:val="clear" w:color="auto" w:fill="808080"/>
          </w:tcPr>
          <w:p w:rsidR="00B97FD7" w:rsidRPr="00B404D2" w:rsidRDefault="00B97FD7" w:rsidP="00387053">
            <w:pPr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1C" w:rsidRDefault="00B3741C" w:rsidP="00AC4A1D">
      <w:r>
        <w:separator/>
      </w:r>
    </w:p>
  </w:endnote>
  <w:endnote w:type="continuationSeparator" w:id="0">
    <w:p w:rsidR="00B3741C" w:rsidRDefault="00B3741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576558">
      <w:rPr>
        <w:rFonts w:ascii="Calibri" w:hAnsi="Calibri" w:cs="Calibri"/>
        <w:bCs/>
        <w:noProof/>
        <w:sz w:val="12"/>
        <w:szCs w:val="12"/>
      </w:rPr>
      <w:t>3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576558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576558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576558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1C" w:rsidRDefault="00B3741C" w:rsidP="00AC4A1D">
      <w:r>
        <w:separator/>
      </w:r>
    </w:p>
  </w:footnote>
  <w:footnote w:type="continuationSeparator" w:id="0">
    <w:p w:rsidR="00B3741C" w:rsidRDefault="00B3741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38B7"/>
    <w:rsid w:val="00063A79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9A8F-829C-4068-9724-EFFAD2A2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Tamta Kalandadze</cp:lastModifiedBy>
  <cp:revision>13</cp:revision>
  <cp:lastPrinted>2012-10-26T12:49:00Z</cp:lastPrinted>
  <dcterms:created xsi:type="dcterms:W3CDTF">2018-01-03T14:38:00Z</dcterms:created>
  <dcterms:modified xsi:type="dcterms:W3CDTF">2020-06-04T09:20:00Z</dcterms:modified>
</cp:coreProperties>
</file>